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2545"/>
        </w:rPr>
        <w:t>ERP Business Requirements Document (BRD)</w:t>
      </w:r>
    </w:p>
    <w:p>
      <w:r>
        <w:rPr>
          <w:i/>
        </w:rPr>
        <w:t>What the business needs the system to do — signed before configuration starts.</w:t>
      </w:r>
    </w:p>
    <w:p>
      <w:r>
        <w:rPr>
          <w:color w:val="666666"/>
          <w:sz w:val="18"/>
        </w:rPr>
        <w:t>Template by Mehedi Hasan, Odoo Certified Functional Consultant · Method: https://mhasan.me/lab/0045-erp-requirements-document-template · Replace everything in [brackets].</w:t>
      </w:r>
    </w:p>
    <w:p>
      <w:pPr>
        <w:pStyle w:val="Heading1"/>
      </w:pPr>
      <w:r>
        <w:t>1. Document control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Item</w:t>
            </w:r>
          </w:p>
        </w:tc>
        <w:tc>
          <w:tcPr>
            <w:tcW w:type="dxa" w:w="6236"/>
          </w:tcPr>
          <w:p>
            <w:r>
              <w:rPr>
                <w:b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t>Company</w:t>
            </w:r>
          </w:p>
        </w:tc>
        <w:tc>
          <w:tcPr>
            <w:tcW w:type="dxa" w:w="6236"/>
          </w:tcPr>
          <w:p>
            <w:r>
              <w:t>[name]</w:t>
            </w:r>
          </w:p>
        </w:tc>
      </w:tr>
      <w:tr>
        <w:tc>
          <w:tcPr>
            <w:tcW w:type="dxa" w:w="2835"/>
          </w:tcPr>
          <w:p>
            <w:r>
              <w:t>Version</w:t>
            </w:r>
          </w:p>
        </w:tc>
        <w:tc>
          <w:tcPr>
            <w:tcW w:type="dxa" w:w="6236"/>
          </w:tcPr>
          <w:p>
            <w:r>
              <w:t>[v0.1]</w:t>
            </w:r>
          </w:p>
        </w:tc>
      </w:tr>
      <w:tr>
        <w:tc>
          <w:tcPr>
            <w:tcW w:type="dxa" w:w="2835"/>
          </w:tcPr>
          <w:p>
            <w:r>
              <w:t>Prepared by</w:t>
            </w:r>
          </w:p>
        </w:tc>
        <w:tc>
          <w:tcPr>
            <w:tcW w:type="dxa" w:w="6236"/>
          </w:tcPr>
          <w:p>
            <w:r>
              <w:t>[business analyst]</w:t>
            </w:r>
          </w:p>
        </w:tc>
      </w:tr>
      <w:tr>
        <w:tc>
          <w:tcPr>
            <w:tcW w:type="dxa" w:w="2835"/>
          </w:tcPr>
          <w:p>
            <w:r>
              <w:t>Reviewed by</w:t>
            </w:r>
          </w:p>
        </w:tc>
        <w:tc>
          <w:tcPr>
            <w:tcW w:type="dxa" w:w="6236"/>
          </w:tcPr>
          <w:p>
            <w:r>
              <w:t>[process owners]</w:t>
            </w:r>
          </w:p>
        </w:tc>
      </w:tr>
      <w:tr>
        <w:tc>
          <w:tcPr>
            <w:tcW w:type="dxa" w:w="2835"/>
          </w:tcPr>
          <w:p>
            <w:r>
              <w:t>Approved by</w:t>
            </w:r>
          </w:p>
        </w:tc>
        <w:tc>
          <w:tcPr>
            <w:tcW w:type="dxa" w:w="6236"/>
          </w:tcPr>
          <w:p>
            <w:r>
              <w:t>[sponsor]</w:t>
            </w:r>
          </w:p>
        </w:tc>
      </w:tr>
    </w:tbl>
    <w:p/>
    <w:p>
      <w:pPr>
        <w:pStyle w:val="Heading1"/>
      </w:pPr>
      <w:r>
        <w:t>2. Business context</w:t>
      </w:r>
    </w:p>
    <w:p>
      <w:r>
        <w:t>[Industry, products, sites, number of users, current systems (Tally / Excel / other), and why the company is implementing an ERP now.]</w:t>
      </w:r>
    </w:p>
    <w:p>
      <w:pPr>
        <w:pStyle w:val="Heading1"/>
      </w:pPr>
      <w:r>
        <w:t>3. Objectives and KPIs</w:t>
      </w:r>
    </w:p>
    <w:p>
      <w:pPr>
        <w:pStyle w:val="ListBullet"/>
      </w:pPr>
      <w:r>
        <w:t>[Objective 1 — with baseline and target]</w:t>
      </w:r>
    </w:p>
    <w:p>
      <w:pPr>
        <w:pStyle w:val="ListBullet"/>
      </w:pPr>
      <w:r>
        <w:t>[Objective 2]</w:t>
      </w:r>
    </w:p>
    <w:p>
      <w:pPr>
        <w:pStyle w:val="ListBullet"/>
      </w:pPr>
      <w:r>
        <w:t>[Objective 3]</w:t>
      </w:r>
    </w:p>
    <w:p>
      <w:pPr>
        <w:pStyle w:val="Heading1"/>
      </w:pPr>
      <w:r>
        <w:t>4. Scope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402"/>
          </w:tcPr>
          <w:p>
            <w:r>
              <w:rPr>
                <w:b/>
              </w:rPr>
              <w:t>In scope</w:t>
            </w:r>
          </w:p>
        </w:tc>
        <w:tc>
          <w:tcPr>
            <w:tcW w:type="dxa" w:w="3402"/>
          </w:tcPr>
          <w:p>
            <w:r>
              <w:rPr>
                <w:b/>
              </w:rPr>
              <w:t>Out of scope</w:t>
            </w:r>
          </w:p>
        </w:tc>
      </w:tr>
      <w:tr>
        <w:tc>
          <w:tcPr>
            <w:tcW w:type="dxa" w:w="2268"/>
          </w:tcPr>
          <w:p>
            <w:r>
              <w:t>Modules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268"/>
          </w:tcPr>
          <w:p>
            <w:r>
              <w:t>Companies / sites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268"/>
          </w:tcPr>
          <w:p>
            <w:r>
              <w:t>Integrations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2268"/>
          </w:tcPr>
          <w:p>
            <w:r>
              <w:t>Data migration</w:t>
            </w:r>
          </w:p>
        </w:tc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/>
    <w:p>
      <w:pPr>
        <w:pStyle w:val="Heading1"/>
      </w:pPr>
      <w:r>
        <w:t>5. Current (as-is) processes and pain points</w:t>
      </w:r>
    </w:p>
    <w:p>
      <w:r>
        <w:t>Attach the as-is / to-be process mapping worksheet. Summarise the top pain points per process here.</w:t>
      </w:r>
    </w:p>
    <w:p>
      <w:pPr>
        <w:pStyle w:val="Heading2"/>
      </w:pPr>
      <w:r>
        <w:t>Procure-to-pay</w:t>
      </w:r>
    </w:p>
    <w:p>
      <w:r>
        <w:t>[How it works today · who · documents · pain points]</w:t>
      </w:r>
    </w:p>
    <w:p>
      <w:pPr>
        <w:pStyle w:val="Heading2"/>
      </w:pPr>
      <w:r>
        <w:t>Order-to-cash</w:t>
      </w:r>
    </w:p>
    <w:p>
      <w:r>
        <w:t>[How it works today · who · documents · pain points]</w:t>
      </w:r>
    </w:p>
    <w:p>
      <w:pPr>
        <w:pStyle w:val="Heading2"/>
      </w:pPr>
      <w:r>
        <w:t>Plan-to-produce</w:t>
      </w:r>
    </w:p>
    <w:p>
      <w:r>
        <w:t>[How it works today · who · documents · pain points]</w:t>
      </w:r>
    </w:p>
    <w:p>
      <w:pPr>
        <w:pStyle w:val="Heading2"/>
      </w:pPr>
      <w:r>
        <w:t>Hire-to-pay</w:t>
      </w:r>
    </w:p>
    <w:p>
      <w:r>
        <w:t>[How it works today · who · documents · pain points]</w:t>
      </w:r>
    </w:p>
    <w:p>
      <w:pPr>
        <w:pStyle w:val="Heading2"/>
      </w:pPr>
      <w:r>
        <w:t>Record-to-report (incl. VAT and month-end)</w:t>
      </w:r>
    </w:p>
    <w:p>
      <w:r>
        <w:t>[How it works today · who · documents · pain points]</w:t>
      </w:r>
    </w:p>
    <w:p>
      <w:pPr>
        <w:pStyle w:val="Heading1"/>
      </w:pPr>
      <w:r>
        <w:t>6. Functional requirements (MoSCoW)</w:t>
      </w:r>
    </w:p>
    <w:p>
      <w:r>
        <w:t>Must = cannot go live without · Should = important, workaround acceptable for now · Could = nice to have · Won't = explicitly not in this phase.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020"/>
          </w:tcPr>
          <w:p>
            <w:r>
              <w:rPr>
                <w:b/>
              </w:rPr>
              <w:t>ID</w:t>
            </w:r>
          </w:p>
        </w:tc>
        <w:tc>
          <w:tcPr>
            <w:tcW w:type="dxa" w:w="1474"/>
          </w:tcPr>
          <w:p>
            <w:r>
              <w:rPr>
                <w:b/>
              </w:rPr>
              <w:t>Module</w:t>
            </w:r>
          </w:p>
        </w:tc>
        <w:tc>
          <w:tcPr>
            <w:tcW w:type="dxa" w:w="4195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02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1814"/>
          </w:tcPr>
          <w:p>
            <w:r>
              <w:rPr>
                <w:b/>
              </w:rPr>
              <w:t>Fit (Native / Workaround / Custom)</w:t>
            </w:r>
          </w:p>
        </w:tc>
      </w:tr>
      <w:tr>
        <w:tc>
          <w:tcPr>
            <w:tcW w:type="dxa" w:w="1020"/>
          </w:tcPr>
          <w:p>
            <w:r>
              <w:t>INV-01</w:t>
            </w:r>
          </w:p>
        </w:tc>
        <w:tc>
          <w:tcPr>
            <w:tcW w:type="dxa" w:w="1474"/>
          </w:tcPr>
          <w:p>
            <w:r>
              <w:t>Inventory</w:t>
            </w:r>
          </w:p>
        </w:tc>
        <w:tc>
          <w:tcPr>
            <w:tcW w:type="dxa" w:w="4195"/>
          </w:tcPr>
          <w:p>
            <w:r>
              <w:t>Track items by lot/serial from receipt to delivery.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INV-02</w:t>
            </w:r>
          </w:p>
        </w:tc>
        <w:tc>
          <w:tcPr>
            <w:tcW w:type="dxa" w:w="1474"/>
          </w:tcPr>
          <w:p>
            <w:r>
              <w:t>Inventory</w:t>
            </w:r>
          </w:p>
        </w:tc>
        <w:tc>
          <w:tcPr>
            <w:tcW w:type="dxa" w:w="4195"/>
          </w:tcPr>
          <w:p>
            <w:r>
              <w:t>Landed cost apportions freight, CD, RD, SD over received quantities; VAT/AT excluded from cost.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MRP-01</w:t>
            </w:r>
          </w:p>
        </w:tc>
        <w:tc>
          <w:tcPr>
            <w:tcW w:type="dxa" w:w="1474"/>
          </w:tcPr>
          <w:p>
            <w:r>
              <w:t>Manufacturing</w:t>
            </w:r>
          </w:p>
        </w:tc>
        <w:tc>
          <w:tcPr>
            <w:tcW w:type="dxa" w:w="4195"/>
          </w:tcPr>
          <w:p>
            <w:r>
              <w:t>Multi-level BOMs with phantom sub-assemblies and wastage %.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ACC-01</w:t>
            </w:r>
          </w:p>
        </w:tc>
        <w:tc>
          <w:tcPr>
            <w:tcW w:type="dxa" w:w="1474"/>
          </w:tcPr>
          <w:p>
            <w:r>
              <w:t>Accounting</w:t>
            </w:r>
          </w:p>
        </w:tc>
        <w:tc>
          <w:tcPr>
            <w:tcW w:type="dxa" w:w="4195"/>
          </w:tcPr>
          <w:p>
            <w:r>
              <w:t>Mushak 6.3 generated on invoice validation and stored electronically.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ACC-02</w:t>
            </w:r>
          </w:p>
        </w:tc>
        <w:tc>
          <w:tcPr>
            <w:tcW w:type="dxa" w:w="1474"/>
          </w:tcPr>
          <w:p>
            <w:r>
              <w:t>Accounting</w:t>
            </w:r>
          </w:p>
        </w:tc>
        <w:tc>
          <w:tcPr>
            <w:tcW w:type="dxa" w:w="4195"/>
          </w:tcPr>
          <w:p>
            <w:r>
              <w:t>Quarterly VAT return data with monthly one-third advance deposits.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ACC-03</w:t>
            </w:r>
          </w:p>
        </w:tc>
        <w:tc>
          <w:tcPr>
            <w:tcW w:type="dxa" w:w="1474"/>
          </w:tcPr>
          <w:p>
            <w:r>
              <w:t>Accounting</w:t>
            </w:r>
          </w:p>
        </w:tc>
        <w:tc>
          <w:tcPr>
            <w:tcW w:type="dxa" w:w="4195"/>
          </w:tcPr>
          <w:p>
            <w:r>
              <w:t>TDS by vendor category and VDS with Mushak 6.6.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HR-01</w:t>
            </w:r>
          </w:p>
        </w:tc>
        <w:tc>
          <w:tcPr>
            <w:tcW w:type="dxa" w:w="1474"/>
          </w:tcPr>
          <w:p>
            <w:r>
              <w:t>Payroll</w:t>
            </w:r>
          </w:p>
        </w:tc>
        <w:tc>
          <w:tcPr>
            <w:tcW w:type="dxa" w:w="4195"/>
          </w:tcPr>
          <w:p>
            <w:r>
              <w:t>Wage-board grades, 9% increment, OT at basic÷208×2, festival bonus.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020"/>
          </w:tcPr>
          <w:p>
            <w:r>
              <w:t>[ID]</w:t>
            </w:r>
          </w:p>
        </w:tc>
        <w:tc>
          <w:tcPr>
            <w:tcW w:type="dxa" w:w="1474"/>
          </w:tcPr>
          <w:p>
            <w:r>
              <w:t>[Module]</w:t>
            </w:r>
          </w:p>
        </w:tc>
        <w:tc>
          <w:tcPr>
            <w:tcW w:type="dxa" w:w="4195"/>
          </w:tcPr>
          <w:p>
            <w:r>
              <w:t>[Requirement]</w:t>
            </w:r>
          </w:p>
        </w:tc>
        <w:tc>
          <w:tcPr>
            <w:tcW w:type="dxa" w:w="1020"/>
          </w:tcPr>
          <w:p>
            <w:r>
              <w:t>[M/S/C/W]</w:t>
            </w:r>
          </w:p>
        </w:tc>
        <w:tc>
          <w:tcPr>
            <w:tcW w:type="dxa" w:w="1814"/>
          </w:tcPr>
          <w:p>
            <w:r/>
          </w:p>
        </w:tc>
      </w:tr>
    </w:tbl>
    <w:p/>
    <w:p>
      <w:pPr>
        <w:pStyle w:val="Heading1"/>
      </w:pPr>
      <w:r>
        <w:t>7. Bangladesh compliance requirements</w:t>
      </w:r>
    </w:p>
    <w:p>
      <w:pPr>
        <w:pStyle w:val="ListBullet"/>
      </w:pPr>
      <w:r>
        <w:t>VAT: Mushak 6.3, 6.1/6.2 (or 6.2.1 for traders), 6.7/6.8, 6.10, 9.1 or 9.1.1 (quarterly), VDS 6.6 as applicable</w:t>
      </w:r>
    </w:p>
    <w:p>
      <w:pPr>
        <w:pStyle w:val="ListBullet"/>
      </w:pPr>
      <w:r>
        <w:t>Income tax: TDS on vendor payments by category; AIT at import; salary tax</w:t>
      </w:r>
    </w:p>
    <w:p>
      <w:pPr>
        <w:pStyle w:val="ListBullet"/>
      </w:pPr>
      <w:r>
        <w:t>Customs: HS codes on products; bills of entry linked to receipts and landed costs</w:t>
      </w:r>
    </w:p>
    <w:p>
      <w:pPr>
        <w:pStyle w:val="ListBullet"/>
      </w:pPr>
      <w:r>
        <w:t>Labour: wage-board grades, OT, festival bonus, leave rules (if payroll is in scope)</w:t>
      </w:r>
    </w:p>
    <w:p>
      <w:pPr>
        <w:pStyle w:val="ListBullet"/>
      </w:pPr>
      <w:r>
        <w:t>Trade: LC tracking, bonded warehouse / UD records (exporters)</w:t>
      </w:r>
    </w:p>
    <w:p>
      <w:pPr>
        <w:pStyle w:val="Heading1"/>
      </w:pPr>
      <w:r>
        <w:t>8. Reports and print formats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402"/>
          </w:tcPr>
          <w:p>
            <w:r>
              <w:rPr>
                <w:b/>
              </w:rPr>
              <w:t>Report / document</w:t>
            </w:r>
          </w:p>
        </w:tc>
        <w:tc>
          <w:tcPr>
            <w:tcW w:type="dxa" w:w="2268"/>
          </w:tcPr>
          <w:p>
            <w:r>
              <w:rPr>
                <w:b/>
              </w:rPr>
              <w:t>Users</w:t>
            </w:r>
          </w:p>
        </w:tc>
        <w:tc>
          <w:tcPr>
            <w:tcW w:type="dxa" w:w="1701"/>
          </w:tcPr>
          <w:p>
            <w:r>
              <w:rPr>
                <w:b/>
              </w:rPr>
              <w:t>Frequency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3402"/>
          </w:tcPr>
          <w:p>
            <w:r>
              <w:t>Mushak 6.3</w:t>
            </w:r>
          </w:p>
        </w:tc>
        <w:tc>
          <w:tcPr>
            <w:tcW w:type="dxa" w:w="2268"/>
          </w:tcPr>
          <w:p>
            <w:r>
              <w:t>Accounts, warehouse</w:t>
            </w:r>
          </w:p>
        </w:tc>
        <w:tc>
          <w:tcPr>
            <w:tcW w:type="dxa" w:w="1701"/>
          </w:tcPr>
          <w:p>
            <w:r>
              <w:t>Every sale</w:t>
            </w:r>
          </w:p>
        </w:tc>
        <w:tc>
          <w:tcPr>
            <w:tcW w:type="dxa" w:w="1701"/>
          </w:tcPr>
          <w:p>
            <w:r>
              <w:t>Must</w:t>
            </w:r>
          </w:p>
        </w:tc>
      </w:tr>
      <w:tr>
        <w:tc>
          <w:tcPr>
            <w:tcW w:type="dxa" w:w="3402"/>
          </w:tcPr>
          <w:p>
            <w:r>
              <w:t>Stock valuation</w:t>
            </w:r>
          </w:p>
        </w:tc>
        <w:tc>
          <w:tcPr>
            <w:tcW w:type="dxa" w:w="2268"/>
          </w:tcPr>
          <w:p>
            <w:r>
              <w:t>Finance</w:t>
            </w:r>
          </w:p>
        </w:tc>
        <w:tc>
          <w:tcPr>
            <w:tcW w:type="dxa" w:w="1701"/>
          </w:tcPr>
          <w:p>
            <w:r>
              <w:t>Monthly</w:t>
            </w:r>
          </w:p>
        </w:tc>
        <w:tc>
          <w:tcPr>
            <w:tcW w:type="dxa" w:w="1701"/>
          </w:tcPr>
          <w:p>
            <w:r>
              <w:t>Must</w:t>
            </w:r>
          </w:p>
        </w:tc>
      </w:tr>
      <w:tr>
        <w:tc>
          <w:tcPr>
            <w:tcW w:type="dxa" w:w="3402"/>
          </w:tcPr>
          <w:p>
            <w:r>
              <w:t>[report]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pPr>
        <w:pStyle w:val="Heading1"/>
      </w:pPr>
      <w:r>
        <w:t>9. Non-functional requirements</w:t>
      </w:r>
    </w:p>
    <w:p>
      <w:pPr>
        <w:pStyle w:val="ListBullet"/>
      </w:pPr>
      <w:r>
        <w:t>Availability during business hours (Sunday–Thursday, 09:00–18:00 +06:00)</w:t>
      </w:r>
    </w:p>
    <w:p>
      <w:pPr>
        <w:pStyle w:val="ListBullet"/>
      </w:pPr>
      <w:r>
        <w:t>Daily backups with 30-day retention; restore tested</w:t>
      </w:r>
    </w:p>
    <w:p>
      <w:pPr>
        <w:pStyle w:val="ListBullet"/>
      </w:pPr>
      <w:r>
        <w:t>Role-based access; audit trail on financial and tax records</w:t>
      </w:r>
    </w:p>
    <w:p>
      <w:pPr>
        <w:pStyle w:val="ListBullet"/>
      </w:pPr>
      <w:r>
        <w:t>Performance: standard screens load in under 3 seconds on a 10 Mbps connection</w:t>
      </w:r>
    </w:p>
    <w:p>
      <w:pPr>
        <w:pStyle w:val="Heading1"/>
      </w:pPr>
      <w:r>
        <w:t>10. Data migration</w:t>
      </w:r>
    </w:p>
    <w:p>
      <w:r>
        <w:t>[Objects, source systems, history depth, owners — see the data migration checklist.]</w:t>
      </w:r>
    </w:p>
    <w:p>
      <w:pPr>
        <w:pStyle w:val="Heading1"/>
      </w:pPr>
      <w:r>
        <w:t>11. Assumptions, constraints and dependencies</w:t>
      </w:r>
    </w:p>
    <w:p>
      <w:pPr>
        <w:pStyle w:val="ListBullet"/>
      </w:pPr>
      <w:r>
        <w:t>[Assumption]</w:t>
      </w:r>
    </w:p>
    <w:p>
      <w:pPr>
        <w:pStyle w:val="ListBullet"/>
      </w:pPr>
      <w:r>
        <w:t>[Constraint]</w:t>
      </w:r>
    </w:p>
    <w:p>
      <w:pPr>
        <w:pStyle w:val="ListBullet"/>
      </w:pPr>
      <w:r>
        <w:t>[Dependency]</w:t>
      </w:r>
    </w:p>
    <w:p>
      <w:pPr>
        <w:pStyle w:val="Heading1"/>
      </w:pPr>
      <w:r>
        <w:t>12. 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551"/>
          </w:tcPr>
          <w:p>
            <w:r>
              <w:rPr>
                <w:b/>
              </w:rPr>
              <w:t>Process owner</w:t>
            </w:r>
          </w:p>
        </w:tc>
        <w:tc>
          <w:tcPr>
            <w:tcW w:type="dxa" w:w="2268"/>
          </w:tcPr>
          <w:p>
            <w:r>
              <w:rPr>
                <w:b/>
              </w:rPr>
              <w:t>Area</w:t>
            </w:r>
          </w:p>
        </w:tc>
        <w:tc>
          <w:tcPr>
            <w:tcW w:type="dxa" w:w="2551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2268"/>
          </w:tcPr>
          <w:p>
            <w:r>
              <w:t>Finance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2268"/>
          </w:tcPr>
          <w:p>
            <w:r>
              <w:t>Supply chain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2268"/>
          </w:tcPr>
          <w:p>
            <w:r>
              <w:t>Production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2268"/>
          </w:tcPr>
          <w:p>
            <w:r>
              <w:t>HR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