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2545"/>
        </w:rPr>
        <w:t>Odoo Project Charter</w:t>
      </w:r>
    </w:p>
    <w:p>
      <w:r>
        <w:rPr>
          <w:i/>
        </w:rPr>
        <w:t>One page that stops most ERP arguments before they start. Sign it before kick-off.</w:t>
      </w:r>
    </w:p>
    <w:p>
      <w:r>
        <w:rPr>
          <w:color w:val="666666"/>
          <w:sz w:val="18"/>
        </w:rPr>
        <w:t>Template by Mehedi Hasan, Odoo Certified Functional Consultant · Method: https://mhasan.me/lab/0047-odoo-project-charter-template · Replace everything in [brackets].</w:t>
      </w:r>
    </w:p>
    <w:p>
      <w:pPr>
        <w:pStyle w:val="Heading1"/>
      </w:pPr>
      <w:r>
        <w:t>1. Project identity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>
              <w:rPr>
                <w:b/>
              </w:rPr>
              <w:t>Item</w:t>
            </w:r>
          </w:p>
        </w:tc>
        <w:tc>
          <w:tcPr>
            <w:tcW w:type="dxa" w:w="6236"/>
          </w:tcPr>
          <w:p>
            <w:r>
              <w:rPr>
                <w:b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t>Project name</w:t>
            </w:r>
          </w:p>
        </w:tc>
        <w:tc>
          <w:tcPr>
            <w:tcW w:type="dxa" w:w="6236"/>
          </w:tcPr>
          <w:p>
            <w:r>
              <w:t>[e.g. Odoo ERP implementation — Phase 1]</w:t>
            </w:r>
          </w:p>
        </w:tc>
      </w:tr>
      <w:tr>
        <w:tc>
          <w:tcPr>
            <w:tcW w:type="dxa" w:w="2835"/>
          </w:tcPr>
          <w:p>
            <w:r>
              <w:t>Company / entities</w:t>
            </w:r>
          </w:p>
        </w:tc>
        <w:tc>
          <w:tcPr>
            <w:tcW w:type="dxa" w:w="6236"/>
          </w:tcPr>
          <w:p>
            <w:r>
              <w:t>[legal entities in scope]</w:t>
            </w:r>
          </w:p>
        </w:tc>
      </w:tr>
      <w:tr>
        <w:tc>
          <w:tcPr>
            <w:tcW w:type="dxa" w:w="2835"/>
          </w:tcPr>
          <w:p>
            <w:r>
              <w:t>Sponsor</w:t>
            </w:r>
          </w:p>
        </w:tc>
        <w:tc>
          <w:tcPr>
            <w:tcW w:type="dxa" w:w="6236"/>
          </w:tcPr>
          <w:p>
            <w:r>
              <w:t>[MD / CEO name]</w:t>
            </w:r>
          </w:p>
        </w:tc>
      </w:tr>
      <w:tr>
        <w:tc>
          <w:tcPr>
            <w:tcW w:type="dxa" w:w="2835"/>
          </w:tcPr>
          <w:p>
            <w:r>
              <w:t>Client project manager</w:t>
            </w:r>
          </w:p>
        </w:tc>
        <w:tc>
          <w:tcPr>
            <w:tcW w:type="dxa" w:w="6236"/>
          </w:tcPr>
          <w:p>
            <w:r>
              <w:t>[name, % time allocated]</w:t>
            </w:r>
          </w:p>
        </w:tc>
      </w:tr>
      <w:tr>
        <w:tc>
          <w:tcPr>
            <w:tcW w:type="dxa" w:w="2835"/>
          </w:tcPr>
          <w:p>
            <w:r>
              <w:t>Implementation partner &amp; PM</w:t>
            </w:r>
          </w:p>
        </w:tc>
        <w:tc>
          <w:tcPr>
            <w:tcW w:type="dxa" w:w="6236"/>
          </w:tcPr>
          <w:p>
            <w:r>
              <w:t>[firm, name]</w:t>
            </w:r>
          </w:p>
        </w:tc>
      </w:tr>
      <w:tr>
        <w:tc>
          <w:tcPr>
            <w:tcW w:type="dxa" w:w="2835"/>
          </w:tcPr>
          <w:p>
            <w:r>
              <w:t>Charter version / date</w:t>
            </w:r>
          </w:p>
        </w:tc>
        <w:tc>
          <w:tcPr>
            <w:tcW w:type="dxa" w:w="6236"/>
          </w:tcPr>
          <w:p>
            <w:r>
              <w:t>[v1.0 — date]</w:t>
            </w:r>
          </w:p>
        </w:tc>
      </w:tr>
    </w:tbl>
    <w:p/>
    <w:p>
      <w:pPr>
        <w:pStyle w:val="Heading1"/>
      </w:pPr>
      <w:r>
        <w:t>2. Objective — the business problem we are solving</w:t>
      </w:r>
    </w:p>
    <w:p>
      <w:r>
        <w:t>[e.g. Implement Odoo Enterprise to replace Tally and manual Excel tracking across 3 manufacturing sites, so that stock, costing and VAT come from one system.]</w:t>
      </w:r>
    </w:p>
    <w:p>
      <w:pPr>
        <w:pStyle w:val="Heading1"/>
      </w:pPr>
      <w:r>
        <w:t>3. Success criteria (measurable)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835"/>
          </w:tcPr>
          <w:p>
            <w:r>
              <w:rPr>
                <w:b/>
              </w:rPr>
              <w:t>KPI</w:t>
            </w:r>
          </w:p>
        </w:tc>
        <w:tc>
          <w:tcPr>
            <w:tcW w:type="dxa" w:w="1984"/>
          </w:tcPr>
          <w:p>
            <w:r>
              <w:rPr>
                <w:b/>
              </w:rPr>
              <w:t>Today (baseline)</w:t>
            </w:r>
          </w:p>
        </w:tc>
        <w:tc>
          <w:tcPr>
            <w:tcW w:type="dxa" w:w="1984"/>
          </w:tcPr>
          <w:p>
            <w:r>
              <w:rPr>
                <w:b/>
              </w:rPr>
              <w:t>Target</w:t>
            </w:r>
          </w:p>
        </w:tc>
        <w:tc>
          <w:tcPr>
            <w:tcW w:type="dxa" w:w="2268"/>
          </w:tcPr>
          <w:p>
            <w:r>
              <w:rPr>
                <w:b/>
              </w:rPr>
              <w:t>Measured when</w:t>
            </w:r>
          </w:p>
        </w:tc>
      </w:tr>
      <w:tr>
        <w:tc>
          <w:tcPr>
            <w:tcW w:type="dxa" w:w="2835"/>
          </w:tcPr>
          <w:p>
            <w:r>
              <w:t>Month-end close</w:t>
            </w:r>
          </w:p>
        </w:tc>
        <w:tc>
          <w:tcPr>
            <w:tcW w:type="dxa" w:w="1984"/>
          </w:tcPr>
          <w:p>
            <w:r>
              <w:t>[15 days]</w:t>
            </w:r>
          </w:p>
        </w:tc>
        <w:tc>
          <w:tcPr>
            <w:tcW w:type="dxa" w:w="1984"/>
          </w:tcPr>
          <w:p>
            <w:r>
              <w:t>[3 days]</w:t>
            </w:r>
          </w:p>
        </w:tc>
        <w:tc>
          <w:tcPr>
            <w:tcW w:type="dxa" w:w="2268"/>
          </w:tcPr>
          <w:p>
            <w:r>
              <w:t>[3 months after go-live]</w:t>
            </w:r>
          </w:p>
        </w:tc>
      </w:tr>
      <w:tr>
        <w:tc>
          <w:tcPr>
            <w:tcW w:type="dxa" w:w="2835"/>
          </w:tcPr>
          <w:p>
            <w:r>
              <w:t>Stock accuracy (count vs system)</w:t>
            </w:r>
          </w:p>
        </w:tc>
        <w:tc>
          <w:tcPr>
            <w:tcW w:type="dxa" w:w="1984"/>
          </w:tcPr>
          <w:p>
            <w:r>
              <w:t>[unknown]</w:t>
            </w:r>
          </w:p>
        </w:tc>
        <w:tc>
          <w:tcPr>
            <w:tcW w:type="dxa" w:w="1984"/>
          </w:tcPr>
          <w:p>
            <w:r>
              <w:t>[≥ 98%]</w:t>
            </w:r>
          </w:p>
        </w:tc>
        <w:tc>
          <w:tcPr>
            <w:tcW w:type="dxa" w:w="2268"/>
          </w:tcPr>
          <w:p>
            <w:r>
              <w:t>[first cycle count]</w:t>
            </w:r>
          </w:p>
        </w:tc>
      </w:tr>
      <w:tr>
        <w:tc>
          <w:tcPr>
            <w:tcW w:type="dxa" w:w="2835"/>
          </w:tcPr>
          <w:p>
            <w:r>
              <w:t>Mushak 6.3 / VAT return preparation</w:t>
            </w:r>
          </w:p>
        </w:tc>
        <w:tc>
          <w:tcPr>
            <w:tcW w:type="dxa" w:w="1984"/>
          </w:tcPr>
          <w:p>
            <w:r>
              <w:t>[2 days manual]</w:t>
            </w:r>
          </w:p>
        </w:tc>
        <w:tc>
          <w:tcPr>
            <w:tcW w:type="dxa" w:w="1984"/>
          </w:tcPr>
          <w:p>
            <w:r>
              <w:t>[same day from Odoo]</w:t>
            </w:r>
          </w:p>
        </w:tc>
        <w:tc>
          <w:tcPr>
            <w:tcW w:type="dxa" w:w="2268"/>
          </w:tcPr>
          <w:p>
            <w:r>
              <w:t>[first quarterly return]</w:t>
            </w:r>
          </w:p>
        </w:tc>
      </w:tr>
      <w:tr>
        <w:tc>
          <w:tcPr>
            <w:tcW w:type="dxa" w:w="2835"/>
          </w:tcPr>
          <w:p>
            <w:r>
              <w:t>[your KPI]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</w:tbl>
    <w:p/>
    <w:p>
      <w:pPr>
        <w:pStyle w:val="Heading1"/>
      </w:pPr>
      <w:r>
        <w:t>4. Scope</w:t>
      </w:r>
    </w:p>
    <w:p>
      <w:pPr>
        <w:pStyle w:val="IntenseQuote"/>
      </w:pPr>
      <w:r>
        <w:t>In scope (this phase):</w:t>
      </w:r>
    </w:p>
    <w:p>
      <w:pPr>
        <w:pStyle w:val="ListBullet"/>
      </w:pPr>
      <w:r>
        <w:t>[Modules: Accounting, Inventory, Purchase, Sales, Manufacturing]</w:t>
      </w:r>
    </w:p>
    <w:p>
      <w:pPr>
        <w:pStyle w:val="ListBullet"/>
      </w:pPr>
      <w:r>
        <w:t>[Sites / companies]</w:t>
      </w:r>
    </w:p>
    <w:p>
      <w:pPr>
        <w:pStyle w:val="ListBullet"/>
      </w:pPr>
      <w:r>
        <w:t>[Bangladesh compliance: Mushak 6.3/9.1, VDS, TDS]</w:t>
      </w:r>
    </w:p>
    <w:p>
      <w:pPr>
        <w:pStyle w:val="ListBullet"/>
      </w:pPr>
      <w:r>
        <w:t>[Data migration: masters + opening balances + open documents]</w:t>
      </w:r>
    </w:p>
    <w:p>
      <w:pPr>
        <w:pStyle w:val="ListBullet"/>
      </w:pPr>
      <w:r>
        <w:t>[Integrations: bank statement import, biometric attendance]</w:t>
      </w:r>
    </w:p>
    <w:p>
      <w:pPr>
        <w:pStyle w:val="IntenseQuote"/>
      </w:pPr>
      <w:r>
        <w:t>Out of scope (explicitly):</w:t>
      </w:r>
    </w:p>
    <w:p>
      <w:pPr>
        <w:pStyle w:val="ListBullet"/>
      </w:pPr>
      <w:r>
        <w:t>[e.g. Payroll and HR — Phase 2]</w:t>
      </w:r>
    </w:p>
    <w:p>
      <w:pPr>
        <w:pStyle w:val="ListBullet"/>
      </w:pPr>
      <w:r>
        <w:t>[e.g. E-commerce integration]</w:t>
      </w:r>
    </w:p>
    <w:p>
      <w:pPr>
        <w:pStyle w:val="ListBullet"/>
      </w:pPr>
      <w:r>
        <w:t>[e.g. Migration of transaction history older than the current fiscal year]</w:t>
      </w:r>
    </w:p>
    <w:p>
      <w:pPr>
        <w:pStyle w:val="Heading1"/>
      </w:pPr>
      <w:r>
        <w:t>5. Timeline and milestones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969"/>
          </w:tcPr>
          <w:p>
            <w:r>
              <w:rPr>
                <w:b/>
              </w:rPr>
              <w:t>Milestone</w:t>
            </w:r>
          </w:p>
        </w:tc>
        <w:tc>
          <w:tcPr>
            <w:tcW w:type="dxa" w:w="2268"/>
          </w:tcPr>
          <w:p>
            <w:r>
              <w:rPr>
                <w:b/>
              </w:rPr>
              <w:t>Target date</w:t>
            </w:r>
          </w:p>
        </w:tc>
        <w:tc>
          <w:tcPr>
            <w:tcW w:type="dxa" w:w="2835"/>
          </w:tcPr>
          <w:p>
            <w:r>
              <w:rPr>
                <w:b/>
              </w:rPr>
              <w:t>Sign-off by</w:t>
            </w:r>
          </w:p>
        </w:tc>
      </w:tr>
      <w:tr>
        <w:tc>
          <w:tcPr>
            <w:tcW w:type="dxa" w:w="3969"/>
          </w:tcPr>
          <w:p>
            <w:r>
              <w:t>Discovery &amp; gap analysis signed</w:t>
            </w:r>
          </w:p>
        </w:tc>
        <w:tc>
          <w:tcPr>
            <w:tcW w:type="dxa" w:w="2268"/>
          </w:tcPr>
          <w:p>
            <w:r>
              <w:t>[Month 1]</w:t>
            </w:r>
          </w:p>
        </w:tc>
        <w:tc>
          <w:tcPr>
            <w:tcW w:type="dxa" w:w="2835"/>
          </w:tcPr>
          <w:p>
            <w:r>
              <w:t>[Sponsor + key users]</w:t>
            </w:r>
          </w:p>
        </w:tc>
      </w:tr>
      <w:tr>
        <w:tc>
          <w:tcPr>
            <w:tcW w:type="dxa" w:w="3969"/>
          </w:tcPr>
          <w:p>
            <w:r>
              <w:t>Configuration complete / CRP</w:t>
            </w:r>
          </w:p>
        </w:tc>
        <w:tc>
          <w:tcPr>
            <w:tcW w:type="dxa" w:w="2268"/>
          </w:tcPr>
          <w:p>
            <w:r>
              <w:t>[Month 2]</w:t>
            </w:r>
          </w:p>
        </w:tc>
        <w:tc>
          <w:tcPr>
            <w:tcW w:type="dxa" w:w="2835"/>
          </w:tcPr>
          <w:p>
            <w:r>
              <w:t>[Client PM]</w:t>
            </w:r>
          </w:p>
        </w:tc>
      </w:tr>
      <w:tr>
        <w:tc>
          <w:tcPr>
            <w:tcW w:type="dxa" w:w="3969"/>
          </w:tcPr>
          <w:p>
            <w:r>
              <w:t>UAT passed &amp; users trained</w:t>
            </w:r>
          </w:p>
        </w:tc>
        <w:tc>
          <w:tcPr>
            <w:tcW w:type="dxa" w:w="2268"/>
          </w:tcPr>
          <w:p>
            <w:r>
              <w:t>[Month 3]</w:t>
            </w:r>
          </w:p>
        </w:tc>
        <w:tc>
          <w:tcPr>
            <w:tcW w:type="dxa" w:w="2835"/>
          </w:tcPr>
          <w:p>
            <w:r>
              <w:t>[Process owners]</w:t>
            </w:r>
          </w:p>
        </w:tc>
      </w:tr>
      <w:tr>
        <w:tc>
          <w:tcPr>
            <w:tcW w:type="dxa" w:w="3969"/>
          </w:tcPr>
          <w:p>
            <w:r>
              <w:t>Go-live (go/no-go meeting)</w:t>
            </w:r>
          </w:p>
        </w:tc>
        <w:tc>
          <w:tcPr>
            <w:tcW w:type="dxa" w:w="2268"/>
          </w:tcPr>
          <w:p>
            <w:r>
              <w:t>[Month 4]</w:t>
            </w:r>
          </w:p>
        </w:tc>
        <w:tc>
          <w:tcPr>
            <w:tcW w:type="dxa" w:w="2835"/>
          </w:tcPr>
          <w:p>
            <w:r>
              <w:t>[Sponsor]</w:t>
            </w:r>
          </w:p>
        </w:tc>
      </w:tr>
      <w:tr>
        <w:tc>
          <w:tcPr>
            <w:tcW w:type="dxa" w:w="3969"/>
          </w:tcPr>
          <w:p>
            <w:r>
              <w:t>Hypercare exit</w:t>
            </w:r>
          </w:p>
        </w:tc>
        <w:tc>
          <w:tcPr>
            <w:tcW w:type="dxa" w:w="2268"/>
          </w:tcPr>
          <w:p>
            <w:r>
              <w:t>[Month 4–5]</w:t>
            </w:r>
          </w:p>
        </w:tc>
        <w:tc>
          <w:tcPr>
            <w:tcW w:type="dxa" w:w="2835"/>
          </w:tcPr>
          <w:p>
            <w:r>
              <w:t>[Client PM]</w:t>
            </w:r>
          </w:p>
        </w:tc>
      </w:tr>
    </w:tbl>
    <w:p/>
    <w:p>
      <w:pPr>
        <w:pStyle w:val="Heading1"/>
      </w:pPr>
      <w:r>
        <w:t>6. Budget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5669"/>
          </w:tcPr>
          <w:p>
            <w:r>
              <w:rPr>
                <w:b/>
              </w:rPr>
              <w:t>Cost line</w:t>
            </w:r>
          </w:p>
        </w:tc>
        <w:tc>
          <w:tcPr>
            <w:tcW w:type="dxa" w:w="3402"/>
          </w:tcPr>
          <w:p>
            <w:r>
              <w:rPr>
                <w:b/>
              </w:rPr>
              <w:t>Amount (৳)</w:t>
            </w:r>
          </w:p>
        </w:tc>
      </w:tr>
      <w:tr>
        <w:tc>
          <w:tcPr>
            <w:tcW w:type="dxa" w:w="5669"/>
          </w:tcPr>
          <w:p>
            <w:r>
              <w:t>Implementation fee</w:t>
            </w:r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5669"/>
          </w:tcPr>
          <w:p>
            <w:r>
              <w:t>Odoo licence (year 1)</w:t>
            </w:r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5669"/>
          </w:tcPr>
          <w:p>
            <w:r>
              <w:t>Hosting / hardware</w:t>
            </w:r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5669"/>
          </w:tcPr>
          <w:p>
            <w:r>
              <w:t>Internal team time (opportunity cost)</w:t>
            </w:r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5669"/>
          </w:tcPr>
          <w:p>
            <w:r>
              <w:t>Contingency (15–25%)</w:t>
            </w:r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5669"/>
          </w:tcPr>
          <w:p>
            <w:r>
              <w:t>Total approved budget</w:t>
            </w:r>
          </w:p>
        </w:tc>
        <w:tc>
          <w:tcPr>
            <w:tcW w:type="dxa" w:w="3402"/>
          </w:tcPr>
          <w:p>
            <w:r/>
          </w:p>
        </w:tc>
      </w:tr>
    </w:tbl>
    <w:p/>
    <w:p>
      <w:pPr>
        <w:pStyle w:val="Heading1"/>
      </w:pPr>
      <w:r>
        <w:t>7. Governance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551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268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252"/>
          </w:tcPr>
          <w:p>
            <w:r>
              <w:rPr>
                <w:b/>
              </w:rPr>
              <w:t>Responsibility</w:t>
            </w:r>
          </w:p>
        </w:tc>
      </w:tr>
      <w:tr>
        <w:tc>
          <w:tcPr>
            <w:tcW w:type="dxa" w:w="2551"/>
          </w:tcPr>
          <w:p>
            <w:r>
              <w:t>Project sponsor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252"/>
          </w:tcPr>
          <w:p>
            <w:r>
              <w:t>Funds the project, resolves escalations, chairs go-live decision</w:t>
            </w:r>
          </w:p>
        </w:tc>
      </w:tr>
      <w:tr>
        <w:tc>
          <w:tcPr>
            <w:tcW w:type="dxa" w:w="2551"/>
          </w:tcPr>
          <w:p>
            <w:r>
              <w:t>Steering committee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252"/>
          </w:tcPr>
          <w:p>
            <w:r>
              <w:t>Department heads; meets fortnightly; approves change requests</w:t>
            </w:r>
          </w:p>
        </w:tc>
      </w:tr>
      <w:tr>
        <w:tc>
          <w:tcPr>
            <w:tcW w:type="dxa" w:w="2551"/>
          </w:tcPr>
          <w:p>
            <w:r>
              <w:t>Client project manager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252"/>
          </w:tcPr>
          <w:p>
            <w:r>
              <w:t>Day-to-day lead; makes sure the internal team tests and decides on time</w:t>
            </w:r>
          </w:p>
        </w:tc>
      </w:tr>
      <w:tr>
        <w:tc>
          <w:tcPr>
            <w:tcW w:type="dxa" w:w="2551"/>
          </w:tcPr>
          <w:p>
            <w:r>
              <w:t>Partner project manager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252"/>
          </w:tcPr>
          <w:p>
            <w:r>
              <w:t>Delivery of the vendor's scope</w:t>
            </w:r>
          </w:p>
        </w:tc>
      </w:tr>
      <w:tr>
        <w:tc>
          <w:tcPr>
            <w:tcW w:type="dxa" w:w="2551"/>
          </w:tcPr>
          <w:p>
            <w:r>
              <w:t>Key users / champions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252"/>
          </w:tcPr>
          <w:p>
            <w:r>
              <w:t>Define requirements, test (UAT), train colleagues, sign off</w:t>
            </w:r>
          </w:p>
        </w:tc>
      </w:tr>
    </w:tbl>
    <w:p/>
    <w:p>
      <w:r>
        <w:t>Decision rule: process disputes not resolved by key users go to the steering committee and are decided within [48 hours].</w:t>
      </w:r>
    </w:p>
    <w:p>
      <w:pPr>
        <w:pStyle w:val="Heading1"/>
      </w:pPr>
      <w:r>
        <w:t>8. Change control</w:t>
      </w:r>
    </w:p>
    <w:p>
      <w:r>
        <w:t>Any change to scope, timeline or budget is raised as a written change request with cost and schedule impact, and approved by the steering committee before work starts.</w:t>
      </w:r>
    </w:p>
    <w:p>
      <w:pPr>
        <w:pStyle w:val="Heading1"/>
      </w:pPr>
      <w:r>
        <w:t>9. Key risks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2551"/>
          </w:tcPr>
          <w:p>
            <w:r>
              <w:rPr>
                <w:b/>
              </w:rPr>
              <w:t>Risk</w:t>
            </w:r>
          </w:p>
        </w:tc>
        <w:tc>
          <w:tcPr>
            <w:tcW w:type="dxa" w:w="1247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1134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2835"/>
          </w:tcPr>
          <w:p>
            <w:r>
              <w:rPr>
                <w:b/>
              </w:rPr>
              <w:t>Mitigation</w:t>
            </w:r>
          </w:p>
        </w:tc>
        <w:tc>
          <w:tcPr>
            <w:tcW w:type="dxa" w:w="1304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2551"/>
          </w:tcPr>
          <w:p>
            <w:r>
              <w:t>Key users not released for testing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2835"/>
          </w:tcPr>
          <w:p>
            <w:r>
              <w:t>Protect 20–50% of their time in writing</w:t>
            </w:r>
          </w:p>
        </w:tc>
        <w:tc>
          <w:tcPr>
            <w:tcW w:type="dxa" w:w="1304"/>
          </w:tcPr>
          <w:p>
            <w:r/>
          </w:p>
        </w:tc>
      </w:tr>
      <w:tr>
        <w:tc>
          <w:tcPr>
            <w:tcW w:type="dxa" w:w="2551"/>
          </w:tcPr>
          <w:p>
            <w:r>
              <w:t>Dirty master data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2835"/>
          </w:tcPr>
          <w:p>
            <w:r>
              <w:t>Start clean-up in discovery; trial loads</w:t>
            </w:r>
          </w:p>
        </w:tc>
        <w:tc>
          <w:tcPr>
            <w:tcW w:type="dxa" w:w="1304"/>
          </w:tcPr>
          <w:p>
            <w:r/>
          </w:p>
        </w:tc>
      </w:tr>
      <w:tr>
        <w:tc>
          <w:tcPr>
            <w:tcW w:type="dxa" w:w="2551"/>
          </w:tcPr>
          <w:p>
            <w:r>
              <w:t>Scope creep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2835"/>
          </w:tcPr>
          <w:p>
            <w:r>
              <w:t>Change control; MoSCoW priorities</w:t>
            </w:r>
          </w:p>
        </w:tc>
        <w:tc>
          <w:tcPr>
            <w:tcW w:type="dxa" w:w="1304"/>
          </w:tcPr>
          <w:p>
            <w:r/>
          </w:p>
        </w:tc>
      </w:tr>
    </w:tbl>
    <w:p/>
    <w:p>
      <w:pPr>
        <w:pStyle w:val="Heading1"/>
      </w:pPr>
      <w:r>
        <w:t>10. Sign-off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268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551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551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1701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2551"/>
          </w:tcPr>
          <w:p>
            <w:r>
              <w:t>Project sponsor</w:t>
            </w:r>
          </w:p>
        </w:tc>
        <w:tc>
          <w:tcPr>
            <w:tcW w:type="dxa" w:w="255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2551"/>
          </w:tcPr>
          <w:p>
            <w:r>
              <w:t>Client project manager</w:t>
            </w:r>
          </w:p>
        </w:tc>
        <w:tc>
          <w:tcPr>
            <w:tcW w:type="dxa" w:w="255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2551"/>
          </w:tcPr>
          <w:p>
            <w:r>
              <w:t>Partner project manager</w:t>
            </w:r>
          </w:p>
        </w:tc>
        <w:tc>
          <w:tcPr>
            <w:tcW w:type="dxa" w:w="2551"/>
          </w:tcPr>
          <w:p>
            <w:r/>
          </w:p>
        </w:tc>
        <w:tc>
          <w:tcPr>
            <w:tcW w:type="dxa" w:w="1701"/>
          </w:tcPr>
          <w:p>
            <w:r/>
          </w:p>
        </w:tc>
      </w:tr>
    </w:tbl>
    <w:p/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